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 Analysis for Construction Companies</w:t>
      </w:r>
    </w:p>
    <w:p>
      <w:pPr>
        <w:pStyle w:val="Heading1"/>
      </w:pPr>
      <w:r>
        <w:t>1. What Is ROI?</w:t>
      </w:r>
    </w:p>
    <w:p>
      <w:r>
        <w:t>Return on Investment (ROI) evaluates how efficiently a construction company turns marketing investment into revenue.</w:t>
        <w:br/>
        <w:br/>
        <w:t>Formula:</w:t>
        <w:br/>
        <w:t>ROI = ((Revenue from New Projects - Marketing Cost) / Marketing Cost) × 100</w:t>
      </w:r>
    </w:p>
    <w:p>
      <w:pPr>
        <w:pStyle w:val="Heading1"/>
      </w:pPr>
      <w:r>
        <w:t>2. Key Factors That Drive ROI in Construction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Category</w:t>
            </w:r>
          </w:p>
        </w:tc>
        <w:tc>
          <w:tcPr>
            <w:tcW w:type="dxa" w:w="2880"/>
          </w:tcPr>
          <w:p>
            <w:r>
              <w:t>ROI Driver</w:t>
            </w:r>
          </w:p>
        </w:tc>
        <w:tc>
          <w:tcPr>
            <w:tcW w:type="dxa" w:w="2880"/>
          </w:tcPr>
          <w:p>
            <w:r>
              <w:t>Impact</w:t>
            </w:r>
          </w:p>
        </w:tc>
      </w:tr>
      <w:tr>
        <w:tc>
          <w:tcPr>
            <w:tcW w:type="dxa" w:w="2880"/>
          </w:tcPr>
          <w:p>
            <w:r>
              <w:t>Lead Quality</w:t>
            </w:r>
          </w:p>
        </w:tc>
        <w:tc>
          <w:tcPr>
            <w:tcW w:type="dxa" w:w="2880"/>
          </w:tcPr>
          <w:p>
            <w:r>
              <w:t>Targeting high-intent local searchers</w:t>
            </w:r>
          </w:p>
        </w:tc>
        <w:tc>
          <w:tcPr>
            <w:tcW w:type="dxa" w:w="2880"/>
          </w:tcPr>
          <w:p>
            <w:r>
              <w:t>✅ Reduces wasted budget</w:t>
            </w:r>
          </w:p>
        </w:tc>
      </w:tr>
      <w:tr>
        <w:tc>
          <w:tcPr>
            <w:tcW w:type="dxa" w:w="2880"/>
          </w:tcPr>
          <w:p>
            <w:r>
              <w:t>Deal Size</w:t>
            </w:r>
          </w:p>
        </w:tc>
        <w:tc>
          <w:tcPr>
            <w:tcW w:type="dxa" w:w="2880"/>
          </w:tcPr>
          <w:p>
            <w:r>
              <w:t>Average value of closed project</w:t>
            </w:r>
          </w:p>
        </w:tc>
        <w:tc>
          <w:tcPr>
            <w:tcW w:type="dxa" w:w="2880"/>
          </w:tcPr>
          <w:p>
            <w:r>
              <w:t>✅ Increases ROI multiplier</w:t>
            </w:r>
          </w:p>
        </w:tc>
      </w:tr>
      <w:tr>
        <w:tc>
          <w:tcPr>
            <w:tcW w:type="dxa" w:w="2880"/>
          </w:tcPr>
          <w:p>
            <w:r>
              <w:t>Sales Funnel</w:t>
            </w:r>
          </w:p>
        </w:tc>
        <w:tc>
          <w:tcPr>
            <w:tcW w:type="dxa" w:w="2880"/>
          </w:tcPr>
          <w:p>
            <w:r>
              <w:t>Conversion system &amp; follow-up tools</w:t>
            </w:r>
          </w:p>
        </w:tc>
        <w:tc>
          <w:tcPr>
            <w:tcW w:type="dxa" w:w="2880"/>
          </w:tcPr>
          <w:p>
            <w:r>
              <w:t>✅ Boosts close rate</w:t>
            </w:r>
          </w:p>
        </w:tc>
      </w:tr>
      <w:tr>
        <w:tc>
          <w:tcPr>
            <w:tcW w:type="dxa" w:w="2880"/>
          </w:tcPr>
          <w:p>
            <w:r>
              <w:t>Ad Strategy</w:t>
            </w:r>
          </w:p>
        </w:tc>
        <w:tc>
          <w:tcPr>
            <w:tcW w:type="dxa" w:w="2880"/>
          </w:tcPr>
          <w:p>
            <w:r>
              <w:t>Google &amp; YouTube ads vs Facebook</w:t>
            </w:r>
          </w:p>
        </w:tc>
        <w:tc>
          <w:tcPr>
            <w:tcW w:type="dxa" w:w="2880"/>
          </w:tcPr>
          <w:p>
            <w:r>
              <w:t>✅ Higher-intent platforms</w:t>
            </w:r>
          </w:p>
        </w:tc>
      </w:tr>
      <w:tr>
        <w:tc>
          <w:tcPr>
            <w:tcW w:type="dxa" w:w="2880"/>
          </w:tcPr>
          <w:p>
            <w:r>
              <w:t>CRM/Automation</w:t>
            </w:r>
          </w:p>
        </w:tc>
        <w:tc>
          <w:tcPr>
            <w:tcW w:type="dxa" w:w="2880"/>
          </w:tcPr>
          <w:p>
            <w:r>
              <w:t>Speed &amp; persistence in follow-ups</w:t>
            </w:r>
          </w:p>
        </w:tc>
        <w:tc>
          <w:tcPr>
            <w:tcW w:type="dxa" w:w="2880"/>
          </w:tcPr>
          <w:p>
            <w:r>
              <w:t>✅ Maximizes lead value</w:t>
            </w:r>
          </w:p>
        </w:tc>
      </w:tr>
    </w:tbl>
    <w:p>
      <w:pPr>
        <w:pStyle w:val="Heading1"/>
      </w:pPr>
      <w:r>
        <w:t>3. Example ROI Calculation</w:t>
      </w:r>
    </w:p>
    <w:p>
      <w:r>
        <w:t>Monthly Inputs:</w:t>
        <w:br/>
        <w:t>- Ad Spend = GHS 8,000</w:t>
        <w:br/>
        <w:t>- Raven Service Fee = GHS 7,500</w:t>
        <w:br/>
        <w:t>- Leads/Month = 40</w:t>
        <w:br/>
        <w:t>- Conversion Rate = 15%</w:t>
        <w:br/>
        <w:t>- Average Project Value = GHS 800,000</w:t>
      </w:r>
    </w:p>
    <w:p>
      <w:r>
        <w:t>Results: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Metric</w:t>
            </w:r>
          </w:p>
        </w:tc>
        <w:tc>
          <w:tcPr>
            <w:tcW w:type="dxa" w:w="4320"/>
          </w:tcPr>
          <w:p>
            <w:r>
              <w:t>Value</w:t>
            </w:r>
          </w:p>
        </w:tc>
      </w:tr>
      <w:tr>
        <w:tc>
          <w:tcPr>
            <w:tcW w:type="dxa" w:w="4320"/>
          </w:tcPr>
          <w:p>
            <w:r>
              <w:t>Closed Projects</w:t>
            </w:r>
          </w:p>
        </w:tc>
        <w:tc>
          <w:tcPr>
            <w:tcW w:type="dxa" w:w="4320"/>
          </w:tcPr>
          <w:p>
            <w:r>
              <w:t>6</w:t>
            </w:r>
          </w:p>
        </w:tc>
      </w:tr>
      <w:tr>
        <w:tc>
          <w:tcPr>
            <w:tcW w:type="dxa" w:w="4320"/>
          </w:tcPr>
          <w:p>
            <w:r>
              <w:t>Total Revenue</w:t>
            </w:r>
          </w:p>
        </w:tc>
        <w:tc>
          <w:tcPr>
            <w:tcW w:type="dxa" w:w="4320"/>
          </w:tcPr>
          <w:p>
            <w:r>
              <w:t>6 × GHS 800,000 = GHS 4,800,000</w:t>
            </w:r>
          </w:p>
        </w:tc>
      </w:tr>
      <w:tr>
        <w:tc>
          <w:tcPr>
            <w:tcW w:type="dxa" w:w="4320"/>
          </w:tcPr>
          <w:p>
            <w:r>
              <w:t>Total Investment</w:t>
            </w:r>
          </w:p>
        </w:tc>
        <w:tc>
          <w:tcPr>
            <w:tcW w:type="dxa" w:w="4320"/>
          </w:tcPr>
          <w:p>
            <w:r>
              <w:t>GHS 15,500</w:t>
            </w:r>
          </w:p>
        </w:tc>
      </w:tr>
      <w:tr>
        <w:tc>
          <w:tcPr>
            <w:tcW w:type="dxa" w:w="4320"/>
          </w:tcPr>
          <w:p>
            <w:r>
              <w:t>Net Profit</w:t>
            </w:r>
          </w:p>
        </w:tc>
        <w:tc>
          <w:tcPr>
            <w:tcW w:type="dxa" w:w="4320"/>
          </w:tcPr>
          <w:p>
            <w:r>
              <w:t>GHS 4,784,500</w:t>
            </w:r>
          </w:p>
        </w:tc>
      </w:tr>
      <w:tr>
        <w:tc>
          <w:tcPr>
            <w:tcW w:type="dxa" w:w="4320"/>
          </w:tcPr>
          <w:p>
            <w:r>
              <w:t>ROI</w:t>
            </w:r>
          </w:p>
        </w:tc>
        <w:tc>
          <w:tcPr>
            <w:tcW w:type="dxa" w:w="4320"/>
          </w:tcPr>
          <w:p>
            <w:r>
              <w:t>30,864%</w:t>
            </w:r>
          </w:p>
        </w:tc>
      </w:tr>
    </w:tbl>
    <w:p>
      <w:pPr>
        <w:pStyle w:val="Heading1"/>
      </w:pPr>
      <w:r>
        <w:t>4. ROI Sensitivity Table</w:t>
      </w:r>
    </w:p>
    <w:p>
      <w:r>
        <w:t>This table shows how ROI changes with conversion rate and average deal size: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Avg Deal Size</w:t>
            </w:r>
          </w:p>
        </w:tc>
        <w:tc>
          <w:tcPr>
            <w:tcW w:type="dxa" w:w="1728"/>
          </w:tcPr>
          <w:p>
            <w:r>
              <w:t>5% Conv.</w:t>
            </w:r>
          </w:p>
        </w:tc>
        <w:tc>
          <w:tcPr>
            <w:tcW w:type="dxa" w:w="1728"/>
          </w:tcPr>
          <w:p>
            <w:r>
              <w:t>10% Conv.</w:t>
            </w:r>
          </w:p>
        </w:tc>
        <w:tc>
          <w:tcPr>
            <w:tcW w:type="dxa" w:w="1728"/>
          </w:tcPr>
          <w:p>
            <w:r>
              <w:t>15% Conv.</w:t>
            </w:r>
          </w:p>
        </w:tc>
        <w:tc>
          <w:tcPr>
            <w:tcW w:type="dxa" w:w="1728"/>
          </w:tcPr>
          <w:p>
            <w:r>
              <w:t>20% Conv.</w:t>
            </w:r>
          </w:p>
        </w:tc>
      </w:tr>
      <w:tr>
        <w:tc>
          <w:tcPr>
            <w:tcW w:type="dxa" w:w="1728"/>
          </w:tcPr>
          <w:p>
            <w:r>
              <w:t>GHS 400,000</w:t>
            </w:r>
          </w:p>
        </w:tc>
        <w:tc>
          <w:tcPr>
            <w:tcW w:type="dxa" w:w="1728"/>
          </w:tcPr>
          <w:p>
            <w:r>
              <w:t>2580%</w:t>
            </w:r>
          </w:p>
        </w:tc>
        <w:tc>
          <w:tcPr>
            <w:tcW w:type="dxa" w:w="1728"/>
          </w:tcPr>
          <w:p>
            <w:r>
              <w:t>5580%</w:t>
            </w:r>
          </w:p>
        </w:tc>
        <w:tc>
          <w:tcPr>
            <w:tcW w:type="dxa" w:w="1728"/>
          </w:tcPr>
          <w:p>
            <w:r>
              <w:t>8580%</w:t>
            </w:r>
          </w:p>
        </w:tc>
        <w:tc>
          <w:tcPr>
            <w:tcW w:type="dxa" w:w="1728"/>
          </w:tcPr>
          <w:p>
            <w:r>
              <w:t>11,580%</w:t>
            </w:r>
          </w:p>
        </w:tc>
      </w:tr>
      <w:tr>
        <w:tc>
          <w:tcPr>
            <w:tcW w:type="dxa" w:w="1728"/>
          </w:tcPr>
          <w:p>
            <w:r>
              <w:t>GHS 600,000</w:t>
            </w:r>
          </w:p>
        </w:tc>
        <w:tc>
          <w:tcPr>
            <w:tcW w:type="dxa" w:w="1728"/>
          </w:tcPr>
          <w:p>
            <w:r>
              <w:t>3870%</w:t>
            </w:r>
          </w:p>
        </w:tc>
        <w:tc>
          <w:tcPr>
            <w:tcW w:type="dxa" w:w="1728"/>
          </w:tcPr>
          <w:p>
            <w:r>
              <w:t>8370%</w:t>
            </w:r>
          </w:p>
        </w:tc>
        <w:tc>
          <w:tcPr>
            <w:tcW w:type="dxa" w:w="1728"/>
          </w:tcPr>
          <w:p>
            <w:r>
              <w:t>12,870%</w:t>
            </w:r>
          </w:p>
        </w:tc>
        <w:tc>
          <w:tcPr>
            <w:tcW w:type="dxa" w:w="1728"/>
          </w:tcPr>
          <w:p>
            <w:r>
              <w:t>17,370%</w:t>
            </w:r>
          </w:p>
        </w:tc>
      </w:tr>
      <w:tr>
        <w:tc>
          <w:tcPr>
            <w:tcW w:type="dxa" w:w="1728"/>
          </w:tcPr>
          <w:p>
            <w:r>
              <w:t>GHS 800,000</w:t>
            </w:r>
          </w:p>
        </w:tc>
        <w:tc>
          <w:tcPr>
            <w:tcW w:type="dxa" w:w="1728"/>
          </w:tcPr>
          <w:p>
            <w:r>
              <w:t>5160%</w:t>
            </w:r>
          </w:p>
        </w:tc>
        <w:tc>
          <w:tcPr>
            <w:tcW w:type="dxa" w:w="1728"/>
          </w:tcPr>
          <w:p>
            <w:r>
              <w:t>11,160%</w:t>
            </w:r>
          </w:p>
        </w:tc>
        <w:tc>
          <w:tcPr>
            <w:tcW w:type="dxa" w:w="1728"/>
          </w:tcPr>
          <w:p>
            <w:r>
              <w:t>16,160%</w:t>
            </w:r>
          </w:p>
        </w:tc>
        <w:tc>
          <w:tcPr>
            <w:tcW w:type="dxa" w:w="1728"/>
          </w:tcPr>
          <w:p>
            <w:r>
              <w:t>23,160%</w:t>
            </w:r>
          </w:p>
        </w:tc>
      </w:tr>
      <w:tr>
        <w:tc>
          <w:tcPr>
            <w:tcW w:type="dxa" w:w="1728"/>
          </w:tcPr>
          <w:p>
            <w:r>
              <w:t>GHS 1,000,000</w:t>
            </w:r>
          </w:p>
        </w:tc>
        <w:tc>
          <w:tcPr>
            <w:tcW w:type="dxa" w:w="1728"/>
          </w:tcPr>
          <w:p>
            <w:r>
              <w:t>6450%</w:t>
            </w:r>
          </w:p>
        </w:tc>
        <w:tc>
          <w:tcPr>
            <w:tcW w:type="dxa" w:w="1728"/>
          </w:tcPr>
          <w:p>
            <w:r>
              <w:t>13,950%</w:t>
            </w:r>
          </w:p>
        </w:tc>
        <w:tc>
          <w:tcPr>
            <w:tcW w:type="dxa" w:w="1728"/>
          </w:tcPr>
          <w:p>
            <w:r>
              <w:t>19,950%</w:t>
            </w:r>
          </w:p>
        </w:tc>
        <w:tc>
          <w:tcPr>
            <w:tcW w:type="dxa" w:w="1728"/>
          </w:tcPr>
          <w:p>
            <w:r>
              <w:t>28,950%</w:t>
            </w:r>
          </w:p>
        </w:tc>
      </w:tr>
    </w:tbl>
    <w:p>
      <w:pPr>
        <w:pStyle w:val="Heading1"/>
      </w:pPr>
      <w:r>
        <w:t>5. Strategic Recommendations</w:t>
      </w:r>
    </w:p>
    <w:p>
      <w:r>
        <w:t>• Target High-Intent Keywords (e.g., “commercial renovation Accra”)</w:t>
      </w:r>
    </w:p>
    <w:p>
      <w:r>
        <w:t>• Use Google Search + YouTube Ads, not Facebook for lead gen</w:t>
      </w:r>
    </w:p>
    <w:p>
      <w:r>
        <w:t>• Automate Lead Follow-Up with Raven’s CRM to prevent drop-offs</w:t>
      </w:r>
    </w:p>
    <w:p>
      <w:r>
        <w:t>• Track Close Rate Monthly — optimize your funnel continuously</w:t>
      </w:r>
    </w:p>
    <w:p>
      <w:r>
        <w:t>• Outsource Sales Copy &amp; Media Buying to Raven’s experts</w:t>
      </w:r>
    </w:p>
    <w:p>
      <w:pPr>
        <w:pStyle w:val="Heading1"/>
      </w:pPr>
      <w:r>
        <w:t>6. ROI Summary</w:t>
      </w:r>
    </w:p>
    <w:p>
      <w:r>
        <w:t>With a focused investment of GHS 15,500/month, your company could consistently generate GHS 4.8M+ in construction revenue and achieve 30,000%+ ROI, depending on close rate and deal size.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